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32 ●研究経費の明細（基盤Ｃ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69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基盤研究（Ｃ）（一般）９－（</w:t>
        <w:tab/>
        <w:t>）</w:t>
      </w:r>
    </w:p>
    <w:p>
      <w:pPr>
        <w:spacing w:before="41"/>
        <w:ind w:left="212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259"/>
            <w:col w:w="412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83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基盤研究（Ｃ）（一般）１０－（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33 ●研究経費の応募・受入等の状況（基盤Ｃ）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939" w:val="left" w:leader="none"/>
        </w:tabs>
        <w:spacing w:line="240" w:lineRule="auto"/>
        <w:ind w:right="0"/>
        <w:jc w:val="left"/>
      </w:pPr>
      <w:r>
        <w:rPr/>
        <w:t>基盤研究（Ｃ）（一般）１１－（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329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93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基盤研究（Ｃ）（一般）１１－（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377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2019-10-02T07:59:26Z</dcterms:created>
  <dcterms:modified xsi:type="dcterms:W3CDTF">2019-10-02T07:59:26Z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2019-10-01T00:00:00Z</vt:filetime>
  </property>
</Properties>
</file>